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-3：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第二届大学生低碳循环科技创新大赛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、团队成员、指导教师、学校名＋院系名＋学校所在城市＋邮编、摘要、关键词、正文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</w:t>
      </w:r>
      <w:r>
        <w:rPr>
          <w:rFonts w:hint="eastAsia" w:ascii="Times New Roman" w:hAnsi="Times New Roman" w:eastAsia="仿宋_GB2312"/>
          <w:b/>
          <w:sz w:val="24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sz w:val="24"/>
          <w:szCs w:val="28"/>
        </w:rPr>
        <w:t>-3：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drawing>
          <wp:inline distT="0" distB="0" distL="114300" distR="114300">
            <wp:extent cx="1492250" cy="1511300"/>
            <wp:effectExtent l="0" t="0" r="635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BlZmMzMDRlNTIyMjY1YmE0NTllMDhjZWQ1NTMifQ=="/>
  </w:docVars>
  <w:rsids>
    <w:rsidRoot w:val="62BB4107"/>
    <w:rsid w:val="1248282F"/>
    <w:rsid w:val="474C5BF5"/>
    <w:rsid w:val="62B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759</Characters>
  <Lines>0</Lines>
  <Paragraphs>0</Paragraphs>
  <TotalTime>1</TotalTime>
  <ScaleCrop>false</ScaleCrop>
  <LinksUpToDate>false</LinksUpToDate>
  <CharactersWithSpaces>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2022-12-30T02:40:00Z</dcterms:created>
  <dc:creator>135----7875</dc:creator>
  <cp:lastModifiedBy>135----7875</cp:lastModifiedBy>
  <dcterms:modified xsi:type="dcterms:W3CDTF">2023-02-23T01:53:14Z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D60D0C28CE104485B4847EBE3697B4F3</vt:lpwstr>
  </property>
</Properties>
</file>